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C3E6" w14:textId="72D4D006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proofErr w:type="gramStart"/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4510B2">
        <w:rPr>
          <w:rFonts w:ascii="Times New Roman" w:eastAsia="ＭＳ 明朝" w:hAnsi="Times New Roman" w:cs="Times New Roman" w:hint="eastAsia"/>
          <w:b/>
          <w:color w:val="000000" w:themeColor="text1"/>
          <w:sz w:val="24"/>
          <w:szCs w:val="24"/>
          <w:lang w:eastAsia="ja-JP"/>
        </w:rPr>
        <w:t>4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963CDA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2203</w:t>
      </w:r>
      <w:proofErr w:type="gramEnd"/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197FD178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December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5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8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200195"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5A9398E1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Vienna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4210D8">
        <w:rPr>
          <w:rFonts w:ascii="Times New Roman" w:eastAsia="ＭＳ 明朝" w:hAnsi="Times New Roman" w:cs="Times New Roman"/>
          <w:sz w:val="24"/>
          <w:szCs w:val="24"/>
          <w:lang w:eastAsia="ja-JP"/>
        </w:rPr>
        <w:t>Austria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b/>
          <w:sz w:val="24"/>
          <w:szCs w:val="24"/>
          <w:lang w:eastAsia="ja-JP"/>
        </w:rPr>
      </w:pPr>
    </w:p>
    <w:p w14:paraId="0967D78C" w14:textId="426AE548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Title: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</w:t>
      </w:r>
      <w:r w:rsidR="00052540">
        <w:rPr>
          <w:rFonts w:ascii="Times New Roman" w:eastAsia="ＭＳ 明朝" w:hAnsi="Times New Roman" w:cs="Times New Roman"/>
          <w:sz w:val="24"/>
          <w:szCs w:val="24"/>
          <w:lang w:eastAsia="ja-JP"/>
        </w:rPr>
        <w:t>iscussion</w:t>
      </w:r>
      <w:r w:rsidR="00052540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on NR continuation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AAE681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NTT DOCOMO, INC.</w:t>
      </w:r>
    </w:p>
    <w:p w14:paraId="6D35C559" w14:textId="19EAC051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9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.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1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1"/>
        <w:rPr>
          <w:rFonts w:ascii="Times New Roman" w:eastAsia="ＭＳ 明朝" w:hAnsi="Times New Roman" w:cs="Times New Roman"/>
          <w:lang w:eastAsia="ja-JP"/>
        </w:rPr>
      </w:pPr>
      <w:bookmarkStart w:id="0" w:name="DocumentFor"/>
      <w:bookmarkEnd w:id="0"/>
      <w:r w:rsidRPr="00EC2091">
        <w:rPr>
          <w:rFonts w:ascii="Times New Roman" w:eastAsia="ＭＳ 明朝" w:hAnsi="Times New Roman" w:cs="Times New Roman"/>
          <w:lang w:eastAsia="ja-JP"/>
        </w:rPr>
        <w:t>Proposal</w:t>
      </w:r>
    </w:p>
    <w:p w14:paraId="7EED5556" w14:textId="1357EDA5" w:rsidR="006A2017" w:rsidRDefault="004C21EC" w:rsidP="008918D1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At the RAN#73 meeting, there is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discussion </w:t>
      </w:r>
      <w:r>
        <w:rPr>
          <w:rFonts w:ascii="Times New Roman" w:eastAsia="ＭＳ 明朝" w:hAnsi="Times New Roman" w:cs="Times New Roman" w:hint="eastAsia"/>
          <w:lang w:eastAsia="ja-JP"/>
        </w:rPr>
        <w:t>regarding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1530F4">
        <w:rPr>
          <w:rFonts w:ascii="Times New Roman" w:eastAsia="ＭＳ 明朝" w:hAnsi="Times New Roman" w:cs="Times New Roman"/>
          <w:lang w:eastAsia="ja-JP"/>
        </w:rPr>
        <w:t>the prioritization of items within the</w:t>
      </w:r>
      <w:r w:rsidR="008918D1">
        <w:rPr>
          <w:rFonts w:ascii="Times New Roman" w:eastAsia="ＭＳ 明朝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SI. </w:t>
      </w:r>
      <w:r>
        <w:rPr>
          <w:rFonts w:ascii="Times New Roman" w:eastAsia="ＭＳ 明朝" w:hAnsi="Times New Roman" w:cs="Times New Roman" w:hint="eastAsia"/>
          <w:lang w:eastAsia="ja-JP"/>
        </w:rPr>
        <w:t>In this document, we make the following additional proposals.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ＭＳ 明朝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Scope of study item is unchanged</w:t>
      </w:r>
      <w:r w:rsidR="00990641">
        <w:rPr>
          <w:rFonts w:ascii="Times New Roman" w:eastAsia="ＭＳ 明朝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ＭＳ 明朝" w:hAnsi="Times New Roman" w:cs="Times New Roman"/>
          <w:lang w:eastAsia="ja-JP"/>
        </w:rPr>
        <w:t>.</w:t>
      </w:r>
    </w:p>
    <w:p w14:paraId="632CDA6D" w14:textId="53C74A20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For the items listed below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and those in RP-161914</w:t>
      </w:r>
      <w:r>
        <w:rPr>
          <w:rFonts w:ascii="Times New Roman" w:eastAsia="ＭＳ 明朝" w:hAnsi="Times New Roman" w:cs="Times New Roman"/>
          <w:lang w:eastAsia="ja-JP"/>
        </w:rPr>
        <w:t>, n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time </w:t>
      </w:r>
      <w:r>
        <w:rPr>
          <w:rFonts w:ascii="Times New Roman" w:eastAsia="ＭＳ 明朝" w:hAnsi="Times New Roman" w:cs="Times New Roman"/>
          <w:lang w:eastAsia="ja-JP"/>
        </w:rPr>
        <w:t>in the W</w:t>
      </w:r>
      <w:r w:rsidRPr="00990641">
        <w:rPr>
          <w:rFonts w:ascii="Times New Roman" w:eastAsia="ＭＳ 明朝" w:hAnsi="Times New Roman" w:cs="Times New Roman"/>
          <w:lang w:eastAsia="ja-JP"/>
        </w:rPr>
        <w:t>Gs wil</w:t>
      </w:r>
      <w:r w:rsidR="00396F67">
        <w:rPr>
          <w:rFonts w:ascii="Times New Roman" w:eastAsia="ＭＳ 明朝" w:hAnsi="Times New Roman" w:cs="Times New Roman"/>
          <w:lang w:eastAsia="ja-JP"/>
        </w:rPr>
        <w:t>l be allocated until March 2017,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 but</w:t>
      </w:r>
      <w:r w:rsidR="00396F67">
        <w:rPr>
          <w:rFonts w:ascii="Times New Roman" w:eastAsia="ＭＳ 明朝" w:hAnsi="Times New Roman" w:cs="Times New Roman"/>
          <w:lang w:eastAsia="ja-JP"/>
        </w:rPr>
        <w:t xml:space="preserve"> they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 will be studied after March 2017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. As a consequence, detailed design decisions related to these items are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>March 2017</w:t>
      </w:r>
      <w:r w:rsidR="00DF57D0">
        <w:rPr>
          <w:rFonts w:ascii="Times New Roman" w:eastAsia="ＭＳ 明朝" w:hAnsi="Times New Roman" w:cs="Times New Roman"/>
          <w:lang w:eastAsia="ja-JP"/>
        </w:rPr>
        <w:t>.</w:t>
      </w:r>
    </w:p>
    <w:p w14:paraId="4AC48374" w14:textId="64C7D945" w:rsidR="00C77E1D" w:rsidRPr="00EE3CD5" w:rsidRDefault="003B4B43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C77E1D">
        <w:rPr>
          <w:rFonts w:ascii="Times New Roman" w:eastAsia="ＭＳ 明朝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C77E1D">
        <w:rPr>
          <w:rFonts w:ascii="Times New Roman" w:eastAsia="ＭＳ 明朝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ensure </w:t>
      </w:r>
      <w:r w:rsidR="00C77E1D">
        <w:rPr>
          <w:rFonts w:ascii="Times New Roman" w:eastAsia="ＭＳ 明朝" w:hAnsi="Times New Roman" w:cs="Times New Roman"/>
          <w:lang w:eastAsia="ja-JP"/>
        </w:rPr>
        <w:t>forward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ＭＳ 明朝" w:hAnsi="Times New Roman" w:cs="Times New Roman"/>
          <w:lang w:eastAsia="ja-JP"/>
        </w:rPr>
        <w:t>shall ensure that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features to support </w:t>
      </w:r>
      <w:r w:rsidR="00152C16">
        <w:rPr>
          <w:rFonts w:ascii="Times New Roman" w:eastAsia="ＭＳ 明朝" w:hAnsi="Times New Roman" w:cs="Times New Roman" w:hint="eastAsia"/>
          <w:lang w:eastAsia="ja-JP"/>
        </w:rPr>
        <w:t>following list of items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and the list in RP-161914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can be added later</w:t>
      </w:r>
      <w:r w:rsidR="00912E49">
        <w:rPr>
          <w:rFonts w:ascii="Times New Roman" w:eastAsia="ＭＳ 明朝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an efficient manner.</w:t>
      </w:r>
    </w:p>
    <w:p w14:paraId="6FF3DCA5" w14:textId="7701665A" w:rsidR="00C77E1D" w:rsidRPr="00EE3CD5" w:rsidRDefault="006503AA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As previously agreed at RAN#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7</w:t>
      </w:r>
      <w:r w:rsidR="004C21EC">
        <w:rPr>
          <w:rFonts w:ascii="Times New Roman" w:eastAsia="ＭＳ 明朝" w:hAnsi="Times New Roman" w:cs="Times New Roman" w:hint="eastAsia"/>
          <w:lang w:eastAsia="ja-JP"/>
        </w:rPr>
        <w:t>2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Pr="00EE3CD5">
        <w:rPr>
          <w:rFonts w:ascii="Times New Roman" w:eastAsia="ＭＳ 明朝" w:hAnsi="Times New Roman" w:cs="Times New Roman"/>
          <w:lang w:eastAsia="ja-JP"/>
        </w:rPr>
        <w:t>in RP-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161</w:t>
      </w:r>
      <w:r w:rsidR="004C21EC">
        <w:rPr>
          <w:rFonts w:ascii="Times New Roman" w:eastAsia="ＭＳ 明朝" w:hAnsi="Times New Roman" w:cs="Times New Roman" w:hint="eastAsia"/>
          <w:lang w:eastAsia="ja-JP"/>
        </w:rPr>
        <w:t>269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, the WGs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ＭＳ 明朝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the </w:t>
      </w:r>
      <w:r w:rsidRPr="00EE3CD5">
        <w:rPr>
          <w:rFonts w:ascii="Times New Roman" w:eastAsia="ＭＳ 明朝" w:hAnsi="Times New Roman" w:cs="Times New Roman"/>
          <w:lang w:eastAsia="ja-JP"/>
        </w:rPr>
        <w:t>listed items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below and those in RP-161914</w:t>
      </w:r>
      <w:r w:rsidRPr="00EE3CD5">
        <w:rPr>
          <w:rFonts w:ascii="Times New Roman" w:eastAsia="ＭＳ 明朝" w:hAnsi="Times New Roman" w:cs="Times New Roman"/>
          <w:lang w:eastAsia="ja-JP"/>
        </w:rPr>
        <w:t>.</w:t>
      </w:r>
    </w:p>
    <w:p w14:paraId="7964882B" w14:textId="22E87441" w:rsidR="006503AA" w:rsidRDefault="006503AA" w:rsidP="006503AA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WG chair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ＭＳ 明朝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where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within the </w:t>
      </w:r>
      <w:r w:rsidR="008E560B">
        <w:rPr>
          <w:rFonts w:ascii="Times New Roman" w:eastAsia="ＭＳ 明朝" w:hAnsi="Times New Roman" w:cs="Times New Roman"/>
          <w:lang w:eastAsia="ja-JP"/>
        </w:rPr>
        <w:t xml:space="preserve">meeting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>forward compatibility aspects should be discussed.</w:t>
      </w:r>
    </w:p>
    <w:p w14:paraId="1367C192" w14:textId="77777777" w:rsidR="001530EF" w:rsidRDefault="001530EF" w:rsidP="001530EF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58F40B42" w14:textId="7D7DDED8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 w:rsidR="006503AA">
        <w:rPr>
          <w:rFonts w:ascii="Times New Roman" w:eastAsia="ＭＳ 明朝" w:hAnsi="Times New Roman" w:cs="Times New Roman"/>
          <w:lang w:eastAsia="ja-JP"/>
        </w:rPr>
        <w:t>ist of items:</w:t>
      </w:r>
    </w:p>
    <w:p w14:paraId="69C2CFBE" w14:textId="461EBB33" w:rsidR="00C27B51" w:rsidRPr="00C27B51" w:rsidRDefault="00C27B51" w:rsidP="00963CDA">
      <w:pPr>
        <w:pStyle w:val="Body"/>
        <w:numPr>
          <w:ilvl w:val="1"/>
          <w:numId w:val="26"/>
        </w:numPr>
        <w:tabs>
          <w:tab w:val="left" w:pos="3828"/>
        </w:tabs>
        <w:spacing w:after="0"/>
        <w:rPr>
          <w:rFonts w:ascii="Times New Roman" w:eastAsia="ＭＳ 明朝" w:hAnsi="Times New Roman" w:cs="Times New Roman"/>
          <w:lang w:eastAsia="ja-JP"/>
        </w:rPr>
      </w:pPr>
      <w:r w:rsidRPr="00C27B51">
        <w:rPr>
          <w:rFonts w:ascii="Times New Roman" w:eastAsia="ＭＳ 明朝" w:hAnsi="Times New Roman" w:cs="Times New Roman"/>
          <w:lang w:eastAsia="ja-JP"/>
        </w:rPr>
        <w:t>UL grant-free transmission</w:t>
      </w:r>
    </w:p>
    <w:p w14:paraId="641D60F7" w14:textId="28595464" w:rsidR="004510B2" w:rsidRPr="00382810" w:rsidRDefault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382810">
        <w:rPr>
          <w:rFonts w:ascii="Times New Roman" w:eastAsia="ＭＳ 明朝" w:hAnsi="Times New Roman" w:cs="Times New Roman"/>
          <w:lang w:eastAsia="ja-JP"/>
        </w:rPr>
        <w:t>[</w:t>
      </w:r>
      <w:r w:rsidR="004510B2" w:rsidRPr="00382810">
        <w:rPr>
          <w:rFonts w:ascii="Times New Roman" w:eastAsia="ＭＳ 明朝" w:hAnsi="Times New Roman" w:cs="Times New Roman"/>
          <w:lang w:eastAsia="ja-JP"/>
        </w:rPr>
        <w:t>Mini-slot-based mechanisms</w:t>
      </w:r>
      <w:r w:rsidRPr="00382810">
        <w:rPr>
          <w:rFonts w:ascii="Times New Roman" w:eastAsia="ＭＳ 明朝" w:hAnsi="Times New Roman" w:cs="Times New Roman"/>
          <w:lang w:eastAsia="ja-JP"/>
        </w:rPr>
        <w:t>]</w:t>
      </w:r>
    </w:p>
    <w:p w14:paraId="45962ED4" w14:textId="23917C51" w:rsidR="00A21BF2" w:rsidRPr="001530EF" w:rsidRDefault="002B154E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1530EF">
        <w:rPr>
          <w:rFonts w:ascii="Times New Roman" w:eastAsia="ＭＳ 明朝" w:hAnsi="Times New Roman" w:cs="Times New Roman"/>
          <w:lang w:eastAsia="ja-JP"/>
        </w:rPr>
        <w:t>2-step RACH procedure</w:t>
      </w:r>
    </w:p>
    <w:p w14:paraId="2050C7E4" w14:textId="1457E874" w:rsidR="00C50BC7" w:rsidRPr="00C50BC7" w:rsidRDefault="00C50BC7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1530EF">
        <w:rPr>
          <w:rFonts w:ascii="Times New Roman" w:eastAsia="ＭＳ 明朝" w:hAnsi="Times New Roman" w:cs="Times New Roman"/>
          <w:lang w:eastAsia="ja-JP"/>
        </w:rPr>
        <w:t>Flexible duplex of paired spectrum</w:t>
      </w:r>
    </w:p>
    <w:p w14:paraId="777BA9F1" w14:textId="732A1CA0" w:rsidR="004510B2" w:rsidRPr="001530EF" w:rsidRDefault="008E6650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Inter-</w:t>
      </w:r>
      <w:proofErr w:type="spellStart"/>
      <w:r>
        <w:rPr>
          <w:rFonts w:ascii="Times New Roman" w:eastAsia="ＭＳ 明朝" w:hAnsi="Times New Roman" w:cs="Times New Roman" w:hint="eastAsia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lang w:eastAsia="ja-JP"/>
        </w:rPr>
        <w:t xml:space="preserve"> network </w:t>
      </w:r>
      <w:r w:rsidR="004510B2" w:rsidRPr="001530EF">
        <w:rPr>
          <w:rFonts w:ascii="Times New Roman" w:eastAsia="ＭＳ 明朝" w:hAnsi="Times New Roman" w:cs="Times New Roman" w:hint="eastAsia"/>
          <w:lang w:eastAsia="ja-JP"/>
        </w:rPr>
        <w:t>coordination for interference management</w:t>
      </w:r>
      <w:r w:rsidR="004B6CD1" w:rsidRPr="001530EF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="001135C6">
        <w:rPr>
          <w:rFonts w:ascii="Times New Roman" w:eastAsia="ＭＳ 明朝" w:hAnsi="Times New Roman" w:cs="Times New Roman" w:hint="eastAsia"/>
          <w:lang w:eastAsia="ja-JP"/>
        </w:rPr>
        <w:t>and network assisted advanced receiver</w:t>
      </w:r>
    </w:p>
    <w:p w14:paraId="472EBC3F" w14:textId="7239D9E5" w:rsidR="00C50BC7" w:rsidRDefault="00233697" w:rsidP="001135C6">
      <w:pPr>
        <w:pStyle w:val="Body"/>
        <w:numPr>
          <w:ilvl w:val="1"/>
          <w:numId w:val="26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[</w:t>
      </w:r>
      <w:r w:rsidR="001135C6">
        <w:rPr>
          <w:rFonts w:ascii="Times New Roman" w:eastAsia="ＭＳ 明朝" w:hAnsi="Times New Roman" w:cs="Times New Roman" w:hint="eastAsia"/>
          <w:lang w:eastAsia="ja-JP"/>
        </w:rPr>
        <w:t xml:space="preserve">Type II </w:t>
      </w:r>
      <w:r w:rsidR="00C50BC7">
        <w:rPr>
          <w:rFonts w:ascii="Times New Roman" w:eastAsia="ＭＳ 明朝" w:hAnsi="Times New Roman" w:cs="Times New Roman" w:hint="eastAsia"/>
          <w:lang w:eastAsia="ja-JP"/>
        </w:rPr>
        <w:t xml:space="preserve">(enhanced) </w:t>
      </w:r>
      <w:r w:rsidR="001135C6">
        <w:rPr>
          <w:rFonts w:ascii="Times New Roman" w:eastAsia="ＭＳ 明朝" w:hAnsi="Times New Roman" w:cs="Times New Roman" w:hint="eastAsia"/>
          <w:lang w:eastAsia="ja-JP"/>
        </w:rPr>
        <w:t>CSI feedback</w:t>
      </w:r>
      <w:r>
        <w:rPr>
          <w:rFonts w:ascii="Times New Roman" w:eastAsia="ＭＳ 明朝" w:hAnsi="Times New Roman" w:cs="Times New Roman" w:hint="eastAsia"/>
          <w:lang w:eastAsia="ja-JP"/>
        </w:rPr>
        <w:t>]</w:t>
      </w:r>
    </w:p>
    <w:p w14:paraId="3F4CEFBF" w14:textId="05964B2E" w:rsidR="00BA111F" w:rsidRDefault="00BA111F" w:rsidP="005137FC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Explicit feedback and/or codebook-based feedback with higher spatial resolution</w:t>
      </w:r>
    </w:p>
    <w:p w14:paraId="04FA1A42" w14:textId="5A40C332" w:rsidR="00C50BC7" w:rsidRDefault="00C50BC7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UL based mobility</w:t>
      </w:r>
    </w:p>
    <w:p w14:paraId="71CEE08D" w14:textId="5E0AE6DC" w:rsidR="00BA111F" w:rsidRPr="005137FC" w:rsidRDefault="00BA111F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Multi-connectivity</w:t>
      </w:r>
      <w:r w:rsidR="002B51D0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="00971103">
        <w:rPr>
          <w:rFonts w:ascii="Times New Roman" w:eastAsia="ＭＳ 明朝" w:hAnsi="Times New Roman" w:cs="Times New Roman" w:hint="eastAsia"/>
          <w:lang w:eastAsia="ja-JP"/>
        </w:rPr>
        <w:t xml:space="preserve">constituted with </w:t>
      </w:r>
      <w:r w:rsidR="002B51D0">
        <w:rPr>
          <w:rFonts w:ascii="Times New Roman" w:eastAsia="ＭＳ 明朝" w:hAnsi="Times New Roman" w:cs="Times New Roman" w:hint="eastAsia"/>
          <w:lang w:eastAsia="ja-JP"/>
        </w:rPr>
        <w:t xml:space="preserve">more </w:t>
      </w:r>
      <w:r w:rsidR="00F03AA2">
        <w:rPr>
          <w:rFonts w:ascii="Times New Roman" w:eastAsia="ＭＳ 明朝" w:hAnsi="Times New Roman" w:cs="Times New Roman" w:hint="eastAsia"/>
          <w:lang w:eastAsia="ja-JP"/>
        </w:rPr>
        <w:t xml:space="preserve">than </w:t>
      </w:r>
      <w:r w:rsidR="00F03AA2" w:rsidRPr="00963CDA">
        <w:rPr>
          <w:rFonts w:ascii="Times New Roman" w:eastAsia="ＭＳ 明朝" w:hAnsi="Times New Roman" w:cs="Times New Roman"/>
          <w:lang w:eastAsia="ja-JP"/>
        </w:rPr>
        <w:t>two</w:t>
      </w:r>
      <w:r w:rsidR="002B51D0" w:rsidRPr="005137FC">
        <w:rPr>
          <w:rFonts w:ascii="Times New Roman" w:eastAsia="ＭＳ 明朝" w:hAnsi="Times New Roman" w:cs="Times New Roman"/>
          <w:lang w:eastAsia="ja-JP"/>
        </w:rPr>
        <w:t xml:space="preserve"> </w:t>
      </w:r>
      <w:r w:rsidR="00971103">
        <w:rPr>
          <w:rFonts w:ascii="Times New Roman" w:eastAsia="ＭＳ 明朝" w:hAnsi="Times New Roman" w:cs="Times New Roman" w:hint="eastAsia"/>
          <w:lang w:eastAsia="ja-JP"/>
        </w:rPr>
        <w:t>nodes (</w:t>
      </w:r>
      <w:proofErr w:type="spellStart"/>
      <w:r w:rsidR="00971103">
        <w:rPr>
          <w:rFonts w:ascii="Times New Roman" w:eastAsia="ＭＳ 明朝" w:hAnsi="Times New Roman" w:cs="Times New Roman" w:hint="eastAsia"/>
          <w:lang w:eastAsia="ja-JP"/>
        </w:rPr>
        <w:t>gNBs</w:t>
      </w:r>
      <w:proofErr w:type="spellEnd"/>
      <w:r w:rsidR="00971103">
        <w:rPr>
          <w:rFonts w:ascii="Times New Roman" w:eastAsia="ＭＳ 明朝" w:hAnsi="Times New Roman" w:cs="Times New Roman" w:hint="eastAsia"/>
          <w:lang w:eastAsia="ja-JP"/>
        </w:rPr>
        <w:t xml:space="preserve"> and/or </w:t>
      </w:r>
      <w:proofErr w:type="spellStart"/>
      <w:r w:rsidR="00971103">
        <w:rPr>
          <w:rFonts w:ascii="Times New Roman" w:eastAsia="ＭＳ 明朝" w:hAnsi="Times New Roman" w:cs="Times New Roman" w:hint="eastAsia"/>
          <w:lang w:eastAsia="ja-JP"/>
        </w:rPr>
        <w:t>eNBs</w:t>
      </w:r>
      <w:proofErr w:type="spellEnd"/>
      <w:r w:rsidR="00971103">
        <w:rPr>
          <w:rFonts w:ascii="Times New Roman" w:eastAsia="ＭＳ 明朝" w:hAnsi="Times New Roman" w:cs="Times New Roman" w:hint="eastAsia"/>
          <w:lang w:eastAsia="ja-JP"/>
        </w:rPr>
        <w:t>)</w:t>
      </w:r>
      <w:bookmarkStart w:id="1" w:name="_GoBack"/>
      <w:bookmarkEnd w:id="1"/>
    </w:p>
    <w:p w14:paraId="78B4A08B" w14:textId="018D2BA3" w:rsidR="002B51D0" w:rsidRDefault="002B51D0" w:rsidP="005137FC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I.e., Dual Connectivity </w:t>
      </w:r>
      <w:r w:rsidR="007943F3">
        <w:rPr>
          <w:rFonts w:ascii="Times New Roman" w:eastAsia="ＭＳ 明朝" w:hAnsi="Times New Roman" w:cs="Times New Roman" w:hint="eastAsia"/>
          <w:lang w:eastAsia="ja-JP"/>
        </w:rPr>
        <w:t>is continued to study in the SI phase</w:t>
      </w:r>
      <w:r>
        <w:rPr>
          <w:rFonts w:ascii="Times New Roman" w:eastAsia="ＭＳ 明朝" w:hAnsi="Times New Roman" w:cs="Times New Roman" w:hint="eastAsia"/>
          <w:lang w:eastAsia="ja-JP"/>
        </w:rPr>
        <w:t>.</w:t>
      </w:r>
    </w:p>
    <w:p w14:paraId="6845EAAE" w14:textId="1544E1F9" w:rsidR="00F26769" w:rsidRDefault="00F26769" w:rsidP="00F26769">
      <w:pPr>
        <w:pStyle w:val="Body"/>
        <w:numPr>
          <w:ilvl w:val="1"/>
          <w:numId w:val="26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Frequency above 52.6 GHz except for activity of c</w:t>
      </w:r>
      <w:r w:rsidRPr="00F26769">
        <w:rPr>
          <w:rFonts w:ascii="Times New Roman" w:eastAsia="ＭＳ 明朝" w:hAnsi="Times New Roman" w:cs="Times New Roman"/>
          <w:lang w:eastAsia="ja-JP"/>
        </w:rPr>
        <w:t>haracteristics of terrestrial IMT systems for frequency sharing / interference analysis</w:t>
      </w:r>
    </w:p>
    <w:p w14:paraId="442B67E4" w14:textId="5C4E0175" w:rsidR="00894D8A" w:rsidRPr="00894D8A" w:rsidRDefault="009B5624" w:rsidP="00963CDA">
      <w:pPr>
        <w:pStyle w:val="Body"/>
        <w:numPr>
          <w:ilvl w:val="1"/>
          <w:numId w:val="26"/>
        </w:numPr>
        <w:spacing w:after="0"/>
        <w:rPr>
          <w:rFonts w:eastAsia="ＭＳ 明朝"/>
          <w:lang w:eastAsia="ja-JP"/>
        </w:rPr>
      </w:pPr>
      <w:r w:rsidRPr="00894D8A">
        <w:rPr>
          <w:rFonts w:ascii="Times New Roman" w:eastAsia="ＭＳ 明朝" w:hAnsi="Times New Roman" w:cs="Times New Roman"/>
          <w:lang w:eastAsia="ja-JP"/>
        </w:rPr>
        <w:lastRenderedPageBreak/>
        <w:t>UL/DL data transfer from/to UE in RRC_INACTIVE</w:t>
      </w:r>
    </w:p>
    <w:sectPr w:rsidR="00894D8A" w:rsidRPr="00894D8A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5340C" w14:textId="77777777" w:rsidR="00A85A30" w:rsidRDefault="00A85A30" w:rsidP="00975D02">
      <w:pPr>
        <w:spacing w:after="0" w:line="240" w:lineRule="auto"/>
      </w:pPr>
      <w:r>
        <w:separator/>
      </w:r>
    </w:p>
  </w:endnote>
  <w:endnote w:type="continuationSeparator" w:id="0">
    <w:p w14:paraId="586D1273" w14:textId="77777777" w:rsidR="00A85A30" w:rsidRDefault="00A85A30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F38AA" w14:textId="77777777"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af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971103">
      <w:rPr>
        <w:noProof/>
      </w:rPr>
      <w:t>1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EF12F" w14:textId="77777777" w:rsidR="00A85A30" w:rsidRDefault="00A85A30" w:rsidP="00975D02">
      <w:pPr>
        <w:spacing w:after="0" w:line="240" w:lineRule="auto"/>
      </w:pPr>
      <w:r>
        <w:separator/>
      </w:r>
    </w:p>
  </w:footnote>
  <w:footnote w:type="continuationSeparator" w:id="0">
    <w:p w14:paraId="07190DA1" w14:textId="77777777" w:rsidR="00A85A30" w:rsidRDefault="00A85A30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D67E7"/>
    <w:multiLevelType w:val="hybridMultilevel"/>
    <w:tmpl w:val="8CD2CA14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3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D65845"/>
    <w:multiLevelType w:val="hybridMultilevel"/>
    <w:tmpl w:val="35FEB182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10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2CE20E57"/>
    <w:multiLevelType w:val="hybridMultilevel"/>
    <w:tmpl w:val="C8A85964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B95FA9"/>
    <w:multiLevelType w:val="hybridMultilevel"/>
    <w:tmpl w:val="442255F2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6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7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A820B0"/>
    <w:multiLevelType w:val="hybridMultilevel"/>
    <w:tmpl w:val="5BE00338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D75DC6"/>
    <w:multiLevelType w:val="hybridMultilevel"/>
    <w:tmpl w:val="735291C0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2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4"/>
  </w:num>
  <w:num w:numId="7">
    <w:abstractNumId w:val="19"/>
  </w:num>
  <w:num w:numId="8">
    <w:abstractNumId w:val="28"/>
  </w:num>
  <w:num w:numId="9">
    <w:abstractNumId w:val="17"/>
  </w:num>
  <w:num w:numId="10">
    <w:abstractNumId w:val="27"/>
  </w:num>
  <w:num w:numId="11">
    <w:abstractNumId w:val="22"/>
  </w:num>
  <w:num w:numId="12">
    <w:abstractNumId w:val="1"/>
  </w:num>
  <w:num w:numId="13">
    <w:abstractNumId w:val="4"/>
  </w:num>
  <w:num w:numId="14">
    <w:abstractNumId w:val="16"/>
  </w:num>
  <w:num w:numId="15">
    <w:abstractNumId w:val="0"/>
  </w:num>
  <w:num w:numId="16">
    <w:abstractNumId w:val="10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6"/>
  </w:num>
  <w:num w:numId="21">
    <w:abstractNumId w:val="13"/>
  </w:num>
  <w:num w:numId="22">
    <w:abstractNumId w:val="7"/>
  </w:num>
  <w:num w:numId="23">
    <w:abstractNumId w:val="24"/>
  </w:num>
  <w:num w:numId="24">
    <w:abstractNumId w:val="12"/>
  </w:num>
  <w:num w:numId="25">
    <w:abstractNumId w:val="8"/>
  </w:num>
  <w:num w:numId="26">
    <w:abstractNumId w:val="3"/>
  </w:num>
  <w:num w:numId="27">
    <w:abstractNumId w:val="11"/>
  </w:num>
  <w:num w:numId="28">
    <w:abstractNumId w:val="21"/>
  </w:num>
  <w:num w:numId="29">
    <w:abstractNumId w:val="18"/>
  </w:num>
  <w:num w:numId="30">
    <w:abstractNumId w:val="15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23"/>
    <w:rsid w:val="0001454A"/>
    <w:rsid w:val="00017BDE"/>
    <w:rsid w:val="00021D61"/>
    <w:rsid w:val="00025F12"/>
    <w:rsid w:val="00052540"/>
    <w:rsid w:val="000666B4"/>
    <w:rsid w:val="0007376E"/>
    <w:rsid w:val="00073CF9"/>
    <w:rsid w:val="00074E30"/>
    <w:rsid w:val="00093D89"/>
    <w:rsid w:val="000B190F"/>
    <w:rsid w:val="000B7026"/>
    <w:rsid w:val="000D74B8"/>
    <w:rsid w:val="001135C6"/>
    <w:rsid w:val="001226B0"/>
    <w:rsid w:val="001500C5"/>
    <w:rsid w:val="00152C16"/>
    <w:rsid w:val="001530EF"/>
    <w:rsid w:val="001530F4"/>
    <w:rsid w:val="00163A28"/>
    <w:rsid w:val="001879BE"/>
    <w:rsid w:val="001A072C"/>
    <w:rsid w:val="001A5DB5"/>
    <w:rsid w:val="001A788E"/>
    <w:rsid w:val="001C4B8C"/>
    <w:rsid w:val="00200195"/>
    <w:rsid w:val="00200966"/>
    <w:rsid w:val="00230EB7"/>
    <w:rsid w:val="00233697"/>
    <w:rsid w:val="00234814"/>
    <w:rsid w:val="002376E7"/>
    <w:rsid w:val="00241722"/>
    <w:rsid w:val="0024172B"/>
    <w:rsid w:val="00243B34"/>
    <w:rsid w:val="00247691"/>
    <w:rsid w:val="002532ED"/>
    <w:rsid w:val="0026097E"/>
    <w:rsid w:val="002810ED"/>
    <w:rsid w:val="002A43A7"/>
    <w:rsid w:val="002A6F78"/>
    <w:rsid w:val="002B154E"/>
    <w:rsid w:val="002B4A26"/>
    <w:rsid w:val="002B51D0"/>
    <w:rsid w:val="002C36BE"/>
    <w:rsid w:val="002C6E5E"/>
    <w:rsid w:val="002E553D"/>
    <w:rsid w:val="002F1351"/>
    <w:rsid w:val="002F2F73"/>
    <w:rsid w:val="003048FB"/>
    <w:rsid w:val="003073B1"/>
    <w:rsid w:val="00307D4C"/>
    <w:rsid w:val="0031611C"/>
    <w:rsid w:val="0032030D"/>
    <w:rsid w:val="00330A7D"/>
    <w:rsid w:val="00341598"/>
    <w:rsid w:val="00361A82"/>
    <w:rsid w:val="00365333"/>
    <w:rsid w:val="00382810"/>
    <w:rsid w:val="00394B80"/>
    <w:rsid w:val="00396F67"/>
    <w:rsid w:val="003A704B"/>
    <w:rsid w:val="003A7366"/>
    <w:rsid w:val="003B4B43"/>
    <w:rsid w:val="003C51A7"/>
    <w:rsid w:val="003E6EE7"/>
    <w:rsid w:val="00420449"/>
    <w:rsid w:val="004210D8"/>
    <w:rsid w:val="00421A76"/>
    <w:rsid w:val="00423A05"/>
    <w:rsid w:val="00437FC3"/>
    <w:rsid w:val="004510B2"/>
    <w:rsid w:val="004A6353"/>
    <w:rsid w:val="004B2DA3"/>
    <w:rsid w:val="004B6CD1"/>
    <w:rsid w:val="004C21EC"/>
    <w:rsid w:val="004E09B4"/>
    <w:rsid w:val="004E0CEA"/>
    <w:rsid w:val="00502F4F"/>
    <w:rsid w:val="005137FC"/>
    <w:rsid w:val="00514F64"/>
    <w:rsid w:val="005308C7"/>
    <w:rsid w:val="00530BD9"/>
    <w:rsid w:val="0054200C"/>
    <w:rsid w:val="00571123"/>
    <w:rsid w:val="00572BA1"/>
    <w:rsid w:val="00584116"/>
    <w:rsid w:val="005A22B5"/>
    <w:rsid w:val="005A34C1"/>
    <w:rsid w:val="005A70C1"/>
    <w:rsid w:val="005B6EC7"/>
    <w:rsid w:val="005D7C87"/>
    <w:rsid w:val="006013BE"/>
    <w:rsid w:val="00602022"/>
    <w:rsid w:val="006042CB"/>
    <w:rsid w:val="006275FF"/>
    <w:rsid w:val="00630300"/>
    <w:rsid w:val="0064527E"/>
    <w:rsid w:val="006503AA"/>
    <w:rsid w:val="00657720"/>
    <w:rsid w:val="00671948"/>
    <w:rsid w:val="0067742C"/>
    <w:rsid w:val="00692D62"/>
    <w:rsid w:val="006965BB"/>
    <w:rsid w:val="00697105"/>
    <w:rsid w:val="006A2017"/>
    <w:rsid w:val="006A295C"/>
    <w:rsid w:val="006A3389"/>
    <w:rsid w:val="006A7545"/>
    <w:rsid w:val="006B6367"/>
    <w:rsid w:val="006D5019"/>
    <w:rsid w:val="006E696F"/>
    <w:rsid w:val="006F4AE1"/>
    <w:rsid w:val="00701D20"/>
    <w:rsid w:val="007106A8"/>
    <w:rsid w:val="00713691"/>
    <w:rsid w:val="00715505"/>
    <w:rsid w:val="00717CD0"/>
    <w:rsid w:val="00727CC9"/>
    <w:rsid w:val="0073113C"/>
    <w:rsid w:val="00745A4B"/>
    <w:rsid w:val="007539AB"/>
    <w:rsid w:val="007567E9"/>
    <w:rsid w:val="00756A11"/>
    <w:rsid w:val="007572CF"/>
    <w:rsid w:val="00777E9C"/>
    <w:rsid w:val="007943F3"/>
    <w:rsid w:val="007B02A0"/>
    <w:rsid w:val="007B1F24"/>
    <w:rsid w:val="007B5EFB"/>
    <w:rsid w:val="007D177A"/>
    <w:rsid w:val="007D5C30"/>
    <w:rsid w:val="008023A6"/>
    <w:rsid w:val="00822776"/>
    <w:rsid w:val="00822D09"/>
    <w:rsid w:val="0084597C"/>
    <w:rsid w:val="00845B32"/>
    <w:rsid w:val="0085109C"/>
    <w:rsid w:val="008650D8"/>
    <w:rsid w:val="008766ED"/>
    <w:rsid w:val="00877CD4"/>
    <w:rsid w:val="008915D6"/>
    <w:rsid w:val="008918D1"/>
    <w:rsid w:val="0089416E"/>
    <w:rsid w:val="00894D8A"/>
    <w:rsid w:val="0089608B"/>
    <w:rsid w:val="008A46F8"/>
    <w:rsid w:val="008D6DB5"/>
    <w:rsid w:val="008E560B"/>
    <w:rsid w:val="008E6650"/>
    <w:rsid w:val="008E68B2"/>
    <w:rsid w:val="008F3B5C"/>
    <w:rsid w:val="009059A8"/>
    <w:rsid w:val="0091235D"/>
    <w:rsid w:val="00912E49"/>
    <w:rsid w:val="00914955"/>
    <w:rsid w:val="00916C0D"/>
    <w:rsid w:val="00922285"/>
    <w:rsid w:val="009242E9"/>
    <w:rsid w:val="009261FA"/>
    <w:rsid w:val="009457A5"/>
    <w:rsid w:val="00963CDA"/>
    <w:rsid w:val="00971103"/>
    <w:rsid w:val="00975D02"/>
    <w:rsid w:val="00990641"/>
    <w:rsid w:val="00991C3B"/>
    <w:rsid w:val="009B0FEE"/>
    <w:rsid w:val="009B5624"/>
    <w:rsid w:val="009C2640"/>
    <w:rsid w:val="009E18A0"/>
    <w:rsid w:val="009E4D23"/>
    <w:rsid w:val="009F236E"/>
    <w:rsid w:val="00A01697"/>
    <w:rsid w:val="00A16C9A"/>
    <w:rsid w:val="00A21BF2"/>
    <w:rsid w:val="00A25DD2"/>
    <w:rsid w:val="00A41CFD"/>
    <w:rsid w:val="00A573E0"/>
    <w:rsid w:val="00A845FB"/>
    <w:rsid w:val="00A85A30"/>
    <w:rsid w:val="00A96F86"/>
    <w:rsid w:val="00AB1ECC"/>
    <w:rsid w:val="00AB6C0B"/>
    <w:rsid w:val="00AC2460"/>
    <w:rsid w:val="00AD3377"/>
    <w:rsid w:val="00B14763"/>
    <w:rsid w:val="00B1710A"/>
    <w:rsid w:val="00B235FB"/>
    <w:rsid w:val="00B42449"/>
    <w:rsid w:val="00B53A62"/>
    <w:rsid w:val="00B61197"/>
    <w:rsid w:val="00B7707E"/>
    <w:rsid w:val="00BA111F"/>
    <w:rsid w:val="00BB7284"/>
    <w:rsid w:val="00BD280C"/>
    <w:rsid w:val="00BE27D2"/>
    <w:rsid w:val="00BE66F3"/>
    <w:rsid w:val="00C23332"/>
    <w:rsid w:val="00C27B51"/>
    <w:rsid w:val="00C30BDF"/>
    <w:rsid w:val="00C34CCF"/>
    <w:rsid w:val="00C50BC7"/>
    <w:rsid w:val="00C534E3"/>
    <w:rsid w:val="00C77E1D"/>
    <w:rsid w:val="00CC7C14"/>
    <w:rsid w:val="00CD73DE"/>
    <w:rsid w:val="00D14CB2"/>
    <w:rsid w:val="00D266F7"/>
    <w:rsid w:val="00D35966"/>
    <w:rsid w:val="00D37F90"/>
    <w:rsid w:val="00D41472"/>
    <w:rsid w:val="00D507E2"/>
    <w:rsid w:val="00D61F0A"/>
    <w:rsid w:val="00D62951"/>
    <w:rsid w:val="00D723C8"/>
    <w:rsid w:val="00D86A69"/>
    <w:rsid w:val="00DB4E93"/>
    <w:rsid w:val="00DD56AA"/>
    <w:rsid w:val="00DE4E4A"/>
    <w:rsid w:val="00DF57D0"/>
    <w:rsid w:val="00E037B3"/>
    <w:rsid w:val="00E43BFD"/>
    <w:rsid w:val="00E46F5C"/>
    <w:rsid w:val="00E70E4C"/>
    <w:rsid w:val="00E7638A"/>
    <w:rsid w:val="00EC2091"/>
    <w:rsid w:val="00ED2894"/>
    <w:rsid w:val="00ED5BB3"/>
    <w:rsid w:val="00EE3CD5"/>
    <w:rsid w:val="00EF5A7D"/>
    <w:rsid w:val="00F03AA2"/>
    <w:rsid w:val="00F069A5"/>
    <w:rsid w:val="00F244E1"/>
    <w:rsid w:val="00F26769"/>
    <w:rsid w:val="00F57B29"/>
    <w:rsid w:val="00F73B5A"/>
    <w:rsid w:val="00F73D34"/>
    <w:rsid w:val="00FC357D"/>
    <w:rsid w:val="00FC701C"/>
    <w:rsid w:val="00FD7BC1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77B7"/>
    <w:rsid w:val="0033153F"/>
    <w:rsid w:val="00390F2E"/>
    <w:rsid w:val="003A0091"/>
    <w:rsid w:val="004218F8"/>
    <w:rsid w:val="0048100C"/>
    <w:rsid w:val="005D1981"/>
    <w:rsid w:val="005E57CE"/>
    <w:rsid w:val="005F5E15"/>
    <w:rsid w:val="00637493"/>
    <w:rsid w:val="006852AE"/>
    <w:rsid w:val="006B0949"/>
    <w:rsid w:val="0078020E"/>
    <w:rsid w:val="007F0737"/>
    <w:rsid w:val="007F0A1D"/>
    <w:rsid w:val="008D076C"/>
    <w:rsid w:val="008E030D"/>
    <w:rsid w:val="008F7E7C"/>
    <w:rsid w:val="009206FA"/>
    <w:rsid w:val="00924901"/>
    <w:rsid w:val="009746D2"/>
    <w:rsid w:val="009D2F15"/>
    <w:rsid w:val="00A36829"/>
    <w:rsid w:val="00AD37B1"/>
    <w:rsid w:val="00B54615"/>
    <w:rsid w:val="00BA77CE"/>
    <w:rsid w:val="00C15C51"/>
    <w:rsid w:val="00C638A0"/>
    <w:rsid w:val="00C74238"/>
    <w:rsid w:val="00D46CA3"/>
    <w:rsid w:val="00D867BE"/>
    <w:rsid w:val="00DA1629"/>
    <w:rsid w:val="00DB6402"/>
    <w:rsid w:val="00EE74C3"/>
    <w:rsid w:val="00FA4ED4"/>
    <w:rsid w:val="00FC411B"/>
    <w:rsid w:val="00FD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30E03-CEE8-4290-AA6D-0EDF27724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E1035-D5FD-4A60-B9EA-FE5FB87F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NTT DOCOMO, INC. 3</cp:lastModifiedBy>
  <cp:revision>4</cp:revision>
  <dcterms:created xsi:type="dcterms:W3CDTF">2016-12-05T10:12:00Z</dcterms:created>
  <dcterms:modified xsi:type="dcterms:W3CDTF">2016-12-05T12:48:00Z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